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7D" w:rsidRDefault="00F1637D"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F1637D" w:rsidRDefault="00F1637D"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F1637D" w:rsidRDefault="00F1637D"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 xml:space="preserve">1.1. Termékazonosító: </w:t>
      </w:r>
      <w:r>
        <w:rPr>
          <w:rFonts w:ascii="Tahoma" w:hAnsi="Tahoma" w:cs="Tahoma"/>
          <w:snapToGrid w:val="0"/>
          <w:sz w:val="18"/>
          <w:szCs w:val="18"/>
        </w:rPr>
        <w:tab/>
      </w:r>
      <w:r>
        <w:rPr>
          <w:rFonts w:ascii="Tahoma" w:hAnsi="Tahoma" w:cs="Tahoma"/>
          <w:b/>
          <w:bCs/>
          <w:snapToGrid w:val="0"/>
          <w:sz w:val="28"/>
          <w:szCs w:val="28"/>
        </w:rPr>
        <w:t>Reál mosogatószer – balzsamos</w:t>
      </w:r>
    </w:p>
    <w:p w:rsidR="00F1637D" w:rsidRDefault="00F1637D"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F1637D" w:rsidRPr="00623045" w:rsidRDefault="00F1637D"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F1637D" w:rsidRDefault="00F1637D"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F1637D" w:rsidRPr="0008511E" w:rsidRDefault="00F1637D"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F1637D" w:rsidRPr="0008511E" w:rsidRDefault="00F1637D" w:rsidP="005C50EE">
      <w:pPr>
        <w:tabs>
          <w:tab w:val="left" w:pos="1985"/>
        </w:tabs>
        <w:ind w:left="426"/>
        <w:rPr>
          <w:rFonts w:ascii="Tahoma" w:hAnsi="Tahoma" w:cs="Tahoma"/>
        </w:rPr>
      </w:pPr>
      <w:r w:rsidRPr="0008511E">
        <w:rPr>
          <w:rFonts w:ascii="Tahoma" w:hAnsi="Tahoma" w:cs="Tahoma"/>
        </w:rPr>
        <w:t>H-3333 Terpes, Petőfi út 2 – 4.</w:t>
      </w:r>
    </w:p>
    <w:p w:rsidR="00F1637D" w:rsidRDefault="00F1637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1637D" w:rsidRPr="0008511E" w:rsidRDefault="00F1637D" w:rsidP="005C50EE">
      <w:pPr>
        <w:tabs>
          <w:tab w:val="left" w:pos="1985"/>
        </w:tabs>
        <w:ind w:left="426"/>
        <w:rPr>
          <w:rFonts w:ascii="Tahoma" w:hAnsi="Tahoma" w:cs="Tahoma"/>
        </w:rPr>
      </w:pPr>
      <w:r>
        <w:rPr>
          <w:rFonts w:ascii="Tahoma" w:hAnsi="Tahoma" w:cs="Tahoma"/>
        </w:rPr>
        <w:t>honlap: www.gironde.hu</w:t>
      </w:r>
    </w:p>
    <w:p w:rsidR="00F1637D" w:rsidRDefault="00F1637D"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F1637D" w:rsidRPr="004D5835" w:rsidRDefault="00F1637D"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F1637D" w:rsidRDefault="00F1637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1637D" w:rsidRDefault="00F1637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1637D" w:rsidRDefault="00F1637D"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F1637D" w:rsidRDefault="00F1637D"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F1637D" w:rsidRPr="00E43E30" w:rsidRDefault="00F1637D"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p>
    <w:p w:rsidR="00F1637D" w:rsidRDefault="00F1637D"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F1637D" w:rsidRDefault="00F1637D"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F1637D" w:rsidRDefault="00F1637D"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F1637D" w:rsidRDefault="00F1637D"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F1637D" w:rsidRPr="00BD425C" w:rsidRDefault="00F1637D"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F1637D" w:rsidRDefault="00F1637D"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F1637D" w:rsidRPr="0094486F" w:rsidRDefault="00F1637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F1637D" w:rsidRDefault="00F1637D"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F1637D" w:rsidRDefault="00F1637D"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F1637D" w:rsidRPr="0094486F" w:rsidRDefault="00F1637D"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F1637D" w:rsidRDefault="00F1637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F1637D" w:rsidRPr="00CF5948" w:rsidRDefault="00F1637D"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F1637D" w:rsidRPr="00CF5948" w:rsidRDefault="00F1637D" w:rsidP="00CF0210">
      <w:pPr>
        <w:pStyle w:val="Szvegtrzsbehzssal"/>
        <w:spacing w:before="40"/>
        <w:ind w:left="0"/>
      </w:pPr>
      <w:r w:rsidRPr="00CF5948">
        <w:rPr>
          <w:b/>
          <w:bCs/>
        </w:rPr>
        <w:t>Fizikai-kémiai veszély:</w:t>
      </w:r>
      <w:r w:rsidRPr="00CF5948">
        <w:t xml:space="preserve"> nem lép fel.</w:t>
      </w:r>
    </w:p>
    <w:p w:rsidR="00F1637D" w:rsidRDefault="00F1637D" w:rsidP="00CF0210">
      <w:pPr>
        <w:pStyle w:val="Szvegtrzsbehzssal"/>
        <w:spacing w:before="40"/>
        <w:ind w:left="0"/>
      </w:pPr>
      <w:r>
        <w:rPr>
          <w:b/>
          <w:bCs/>
        </w:rPr>
        <w:t>Egészségkárosító veszély:</w:t>
      </w:r>
      <w:r>
        <w:t xml:space="preserve"> szembe jutva irritálhat. </w:t>
      </w:r>
    </w:p>
    <w:p w:rsidR="00F1637D" w:rsidRPr="00C77963" w:rsidRDefault="00F1637D"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F1637D" w:rsidRDefault="00F1637D"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F1637D" w:rsidRDefault="00F1637D"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F1637D" w:rsidRDefault="00F1637D"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F1637D" w:rsidRDefault="00F1637D"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F1637D" w:rsidRDefault="00F1637D" w:rsidP="0094486F">
      <w:pPr>
        <w:spacing w:after="120"/>
        <w:jc w:val="both"/>
        <w:rPr>
          <w:rFonts w:ascii="Tahoma" w:hAnsi="Tahoma" w:cs="Tahoma"/>
          <w:b/>
          <w:bCs/>
          <w:sz w:val="18"/>
          <w:szCs w:val="18"/>
        </w:rPr>
      </w:pPr>
      <w:r>
        <w:rPr>
          <w:rFonts w:ascii="Tahoma" w:hAnsi="Tahoma" w:cs="Tahoma"/>
          <w:snapToGrid w:val="0"/>
        </w:rPr>
        <w:t xml:space="preserve">&lt;5%: anionos felületaktív anyagok, &lt;5%: nemionos felületaktív anyag, Parfum, Benzyl Alcohol </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F1637D" w:rsidRPr="00501707">
        <w:trPr>
          <w:cantSplit/>
          <w:trHeight w:val="335"/>
          <w:tblHeader/>
          <w:jc w:val="center"/>
        </w:trPr>
        <w:tc>
          <w:tcPr>
            <w:tcW w:w="3828" w:type="dxa"/>
            <w:vAlign w:val="center"/>
          </w:tcPr>
          <w:p w:rsidR="00F1637D" w:rsidRPr="00501707" w:rsidRDefault="00F1637D"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p>
        </w:tc>
        <w:tc>
          <w:tcPr>
            <w:tcW w:w="1418" w:type="dxa"/>
            <w:vAlign w:val="center"/>
          </w:tcPr>
          <w:p w:rsidR="00F1637D" w:rsidRPr="00501707" w:rsidRDefault="00F1637D"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F1637D" w:rsidRPr="00501707" w:rsidRDefault="00F1637D"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F1637D" w:rsidRPr="00501707" w:rsidRDefault="00F1637D"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F1637D" w:rsidRPr="00501707">
        <w:trPr>
          <w:cantSplit/>
          <w:trHeight w:val="946"/>
          <w:jc w:val="center"/>
        </w:trPr>
        <w:tc>
          <w:tcPr>
            <w:tcW w:w="3828" w:type="dxa"/>
            <w:vAlign w:val="center"/>
          </w:tcPr>
          <w:p w:rsidR="00F1637D" w:rsidRPr="003909CD" w:rsidRDefault="00F1637D"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Lbjegyzet-hivatkozs"/>
                <w:sz w:val="18"/>
                <w:szCs w:val="18"/>
              </w:rPr>
              <w:footnoteReference w:id="4"/>
            </w:r>
          </w:p>
          <w:p w:rsidR="00F1637D" w:rsidRDefault="00F1637D"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F1637D" w:rsidRPr="003909CD" w:rsidRDefault="00F1637D"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F1637D" w:rsidRPr="003909CD" w:rsidRDefault="00F1637D"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&lt;5 </w:t>
            </w:r>
            <w:r w:rsidRPr="003909CD">
              <w:rPr>
                <w:rFonts w:ascii="Tahoma" w:hAnsi="Tahoma" w:cs="Tahoma"/>
                <w:snapToGrid w:val="0"/>
                <w:sz w:val="18"/>
                <w:szCs w:val="18"/>
                <w:lang w:val="en-US"/>
              </w:rPr>
              <w:t>%</w:t>
            </w:r>
          </w:p>
        </w:tc>
        <w:tc>
          <w:tcPr>
            <w:tcW w:w="3740" w:type="dxa"/>
            <w:vAlign w:val="center"/>
          </w:tcPr>
          <w:p w:rsidR="00F1637D" w:rsidRPr="003909CD" w:rsidRDefault="00F1637D"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F1637D" w:rsidRPr="009849DD" w:rsidRDefault="00F1637D"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F1637D" w:rsidRPr="00501707">
        <w:trPr>
          <w:cantSplit/>
          <w:trHeight w:val="831"/>
          <w:jc w:val="center"/>
        </w:trPr>
        <w:tc>
          <w:tcPr>
            <w:tcW w:w="3828" w:type="dxa"/>
            <w:vAlign w:val="center"/>
          </w:tcPr>
          <w:p w:rsidR="00F1637D" w:rsidRPr="003909CD" w:rsidRDefault="00F1637D"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Lbjegyzet-hivatkozs"/>
                <w:sz w:val="18"/>
                <w:szCs w:val="18"/>
              </w:rPr>
              <w:footnoteReference w:id="5"/>
            </w:r>
          </w:p>
          <w:p w:rsidR="00F1637D" w:rsidRDefault="00F1637D"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F1637D" w:rsidRPr="003909CD" w:rsidRDefault="00F1637D"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F1637D" w:rsidRPr="003909CD" w:rsidRDefault="00F1637D"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F1637D" w:rsidRPr="003909CD" w:rsidRDefault="00F1637D"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F1637D" w:rsidRPr="003909CD" w:rsidRDefault="00F1637D"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F1637D" w:rsidRPr="003909CD" w:rsidRDefault="00F1637D"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F1637D" w:rsidRPr="00407E71" w:rsidRDefault="00F1637D"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F1637D" w:rsidRPr="00CC1500" w:rsidRDefault="00F1637D" w:rsidP="00CC1500">
      <w:pPr>
        <w:pStyle w:val="Szvegtrzsbehzssal"/>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F1637D" w:rsidRPr="00CC1500" w:rsidRDefault="00F1637D" w:rsidP="00CC1500">
      <w:pPr>
        <w:tabs>
          <w:tab w:val="left" w:pos="284"/>
        </w:tabs>
        <w:spacing w:before="40"/>
        <w:jc w:val="both"/>
        <w:rPr>
          <w:rFonts w:ascii="Tahoma" w:hAnsi="Tahoma" w:cs="Tahoma"/>
          <w:snapToGrid w:val="0"/>
        </w:rPr>
      </w:pPr>
      <w:r w:rsidRPr="00CC1500">
        <w:rPr>
          <w:rFonts w:ascii="Tahoma" w:hAnsi="Tahoma" w:cs="Tahoma"/>
          <w:snapToGrid w:val="0"/>
        </w:rPr>
        <w:t>A fenti veszélyjelek és R- és H-mondatok a tiszta komponensekre vonatkoznak, a termék veszélyesség szerinti besorolását a 2. szakasz adja meg. Az R- és H-mondatok teljes szövegét lásd a 16. szakaszban.</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F1637D" w:rsidRPr="005840A9" w:rsidRDefault="00F1637D"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F1637D" w:rsidRPr="005840A9" w:rsidRDefault="00F1637D" w:rsidP="00857BC3">
      <w:pPr>
        <w:pStyle w:val="Szvegtrzsbehzssal"/>
        <w:spacing w:before="40"/>
        <w:ind w:left="0"/>
        <w:rPr>
          <w:b/>
          <w:bCs/>
        </w:rPr>
      </w:pPr>
      <w:r w:rsidRPr="005840A9">
        <w:rPr>
          <w:b/>
          <w:bCs/>
        </w:rPr>
        <w:t>4.1. Az elsősegély-nyújtási intézkedések ismertetése</w:t>
      </w:r>
    </w:p>
    <w:p w:rsidR="00F1637D" w:rsidRDefault="00F1637D" w:rsidP="00857BC3">
      <w:pPr>
        <w:pStyle w:val="Szvegtrzsbehzssal"/>
        <w:spacing w:before="40"/>
        <w:ind w:left="0"/>
        <w:rPr>
          <w:b/>
          <w:bCs/>
        </w:rPr>
      </w:pPr>
      <w:r w:rsidRPr="001451C7">
        <w:rPr>
          <w:b/>
          <w:bCs/>
        </w:rPr>
        <w:t>Belélegzés esetén:</w:t>
      </w:r>
      <w:r w:rsidRPr="001451C7">
        <w:t xml:space="preserve"> </w:t>
      </w:r>
      <w:r>
        <w:t>nem relváns expozíció, a</w:t>
      </w:r>
      <w:r w:rsidRPr="001451C7">
        <w:t xml:space="preserve"> sérültet friss levegőre kell vinni</w:t>
      </w:r>
      <w:r>
        <w:t>.</w:t>
      </w:r>
      <w:r w:rsidRPr="001451C7">
        <w:rPr>
          <w:b/>
          <w:bCs/>
        </w:rPr>
        <w:t xml:space="preserve"> </w:t>
      </w:r>
    </w:p>
    <w:p w:rsidR="00F1637D" w:rsidRDefault="00F1637D"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F1637D" w:rsidRPr="001451C7" w:rsidRDefault="00F1637D" w:rsidP="00964C6F">
      <w:pPr>
        <w:pStyle w:val="Szvegtrzsbehzssal"/>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F1637D" w:rsidRDefault="00F1637D"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F1637D" w:rsidRPr="001C77FE" w:rsidRDefault="00F1637D" w:rsidP="00857BC3">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F1637D" w:rsidRPr="00430026" w:rsidRDefault="00F1637D"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F1637D" w:rsidRDefault="00F1637D"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F1637D" w:rsidRPr="0014339B" w:rsidRDefault="00F1637D"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F1637D" w:rsidRDefault="00F1637D"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F1637D" w:rsidRPr="0014339B" w:rsidRDefault="00F1637D"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F1637D" w:rsidRPr="00A254C1" w:rsidRDefault="00F1637D"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F1637D" w:rsidRPr="00A37543" w:rsidRDefault="00F1637D"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F1637D" w:rsidRDefault="00F1637D"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F1637D" w:rsidRDefault="00F1637D"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F1637D" w:rsidRDefault="00F1637D" w:rsidP="00616803">
      <w:pPr>
        <w:spacing w:before="60"/>
        <w:jc w:val="both"/>
        <w:rPr>
          <w:rFonts w:ascii="Tahoma" w:hAnsi="Tahoma" w:cs="Tahoma"/>
          <w:snapToGrid w:val="0"/>
        </w:rPr>
      </w:pPr>
      <w:r w:rsidRPr="0014339B">
        <w:rPr>
          <w:rFonts w:ascii="Tahoma" w:hAnsi="Tahoma" w:cs="Tahoma"/>
          <w:b/>
          <w:bCs/>
          <w:snapToGrid w:val="0"/>
        </w:rPr>
        <w:lastRenderedPageBreak/>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F1637D" w:rsidRPr="0014339B" w:rsidRDefault="00F1637D"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F1637D" w:rsidRDefault="00F1637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F1637D" w:rsidRPr="000E1DD2" w:rsidRDefault="00F1637D"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F1637D" w:rsidRPr="00293D58" w:rsidRDefault="00F1637D" w:rsidP="00C110D4">
      <w:pPr>
        <w:pStyle w:val="Szvegtrzsbehzssal"/>
        <w:ind w:left="0"/>
      </w:pPr>
      <w:r w:rsidRPr="008D5244">
        <w:rPr>
          <w:b/>
          <w:bCs/>
        </w:rPr>
        <w:t>Tűz- és robbanásvédelem:</w:t>
      </w:r>
      <w:r w:rsidRPr="008D5244">
        <w:t xml:space="preserve"> speciális intézkedés nem szükséges.</w:t>
      </w:r>
    </w:p>
    <w:p w:rsidR="00F1637D" w:rsidRPr="0014339B" w:rsidRDefault="00F1637D" w:rsidP="00C110D4">
      <w:pPr>
        <w:pStyle w:val="Szvegtrzsbehzssal"/>
        <w:ind w:left="0"/>
        <w:rPr>
          <w:b/>
          <w:bCs/>
        </w:rPr>
      </w:pPr>
      <w:r w:rsidRPr="0014339B">
        <w:rPr>
          <w:b/>
          <w:bCs/>
        </w:rPr>
        <w:t>7.2. A biztonságos tárolás feltételei, az esetleges összeférhetetlenséggel együtt</w:t>
      </w:r>
    </w:p>
    <w:p w:rsidR="00F1637D" w:rsidRPr="000E1DD2" w:rsidRDefault="00F1637D"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F1637D" w:rsidRPr="0014339B" w:rsidRDefault="00F1637D"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F1637D" w:rsidRDefault="00F1637D"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F1637D" w:rsidRDefault="00F1637D" w:rsidP="00F36D8C">
      <w:pPr>
        <w:tabs>
          <w:tab w:val="left" w:pos="2835"/>
        </w:tabs>
        <w:spacing w:before="60"/>
        <w:ind w:right="62"/>
        <w:rPr>
          <w:rFonts w:ascii="Tahoma" w:hAnsi="Tahoma" w:cs="Tahoma"/>
          <w:b/>
          <w:bCs/>
        </w:rPr>
      </w:pPr>
      <w:r>
        <w:rPr>
          <w:rFonts w:ascii="Tahoma" w:hAnsi="Tahoma" w:cs="Tahoma"/>
          <w:b/>
          <w:bCs/>
        </w:rPr>
        <w:t>Rendelkezésre álló DNEL</w:t>
      </w:r>
      <w:r>
        <w:rPr>
          <w:rStyle w:val="Lbjegyzet-hivatkozs"/>
        </w:rPr>
        <w:footnoteReference w:id="6"/>
      </w:r>
      <w:r>
        <w:rPr>
          <w:rFonts w:ascii="Tahoma" w:hAnsi="Tahoma" w:cs="Tahoma"/>
          <w:b/>
          <w:bCs/>
        </w:rPr>
        <w:t xml:space="preserve"> , NOAEL</w:t>
      </w:r>
      <w:r>
        <w:rPr>
          <w:rStyle w:val="Lbjegyzet-hivatkozs"/>
          <w:color w:val="000000"/>
        </w:rPr>
        <w:footnoteReference w:id="7"/>
      </w:r>
      <w:r>
        <w:rPr>
          <w:rFonts w:ascii="Tahoma" w:hAnsi="Tahoma" w:cs="Tahoma"/>
          <w:color w:val="000000"/>
        </w:rPr>
        <w:t xml:space="preserve"> </w:t>
      </w:r>
      <w:r>
        <w:rPr>
          <w:rFonts w:ascii="Tahoma" w:hAnsi="Tahoma" w:cs="Tahoma"/>
          <w:b/>
          <w:bCs/>
        </w:rPr>
        <w:t>és PNEC</w:t>
      </w:r>
      <w:r>
        <w:rPr>
          <w:rStyle w:val="Lbjegyzet-hivatkozs"/>
        </w:rPr>
        <w:footnoteReference w:id="8"/>
      </w:r>
      <w:r w:rsidRPr="00583F32">
        <w:rPr>
          <w:rFonts w:ascii="Tahoma" w:hAnsi="Tahoma" w:cs="Tahoma"/>
        </w:rPr>
        <w:t xml:space="preserve"> </w:t>
      </w:r>
      <w:r>
        <w:rPr>
          <w:rFonts w:ascii="Tahoma" w:hAnsi="Tahoma" w:cs="Tahoma"/>
          <w:b/>
          <w:bCs/>
        </w:rPr>
        <w:t xml:space="preserve"> értékek: </w:t>
      </w:r>
    </w:p>
    <w:p w:rsidR="00F1637D" w:rsidRDefault="00F1637D"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F1637D" w:rsidRPr="008D7012" w:rsidRDefault="00F1637D"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F1637D" w:rsidRPr="00F36D8C" w:rsidRDefault="00F1637D"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F1637D" w:rsidRPr="00F36D8C" w:rsidRDefault="00F1637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F1637D" w:rsidRPr="00F36D8C" w:rsidRDefault="00F1637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F1637D" w:rsidRPr="00F36D8C" w:rsidRDefault="00F1637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F1637D" w:rsidRPr="00F36D8C" w:rsidRDefault="00F1637D"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F1637D" w:rsidRPr="00583F32" w:rsidRDefault="00F1637D"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F1637D" w:rsidRPr="00583F32" w:rsidRDefault="00F1637D"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F1637D" w:rsidRPr="001E4463" w:rsidRDefault="00F1637D"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F1637D" w:rsidRDefault="00F1637D" w:rsidP="000A36D7">
      <w:pPr>
        <w:pStyle w:val="Szvegtrzsbehzssal"/>
        <w:spacing w:before="80"/>
        <w:ind w:left="0"/>
        <w:rPr>
          <w:b/>
          <w:bCs/>
        </w:rPr>
      </w:pPr>
      <w:r>
        <w:rPr>
          <w:b/>
          <w:bCs/>
        </w:rPr>
        <w:t>8.3. Személyi védelem</w:t>
      </w:r>
    </w:p>
    <w:p w:rsidR="00F1637D" w:rsidRDefault="00F1637D" w:rsidP="0015371B">
      <w:pPr>
        <w:pStyle w:val="Szvegtrzsbehzssal"/>
        <w:spacing w:before="0"/>
        <w:ind w:left="0"/>
      </w:pPr>
      <w:r>
        <w:rPr>
          <w:b/>
          <w:bCs/>
        </w:rPr>
        <w:t xml:space="preserve">Műszaki intézkedések: </w:t>
      </w:r>
      <w:r>
        <w:t>nem szükséges.</w:t>
      </w:r>
    </w:p>
    <w:p w:rsidR="00F1637D" w:rsidRDefault="00F1637D" w:rsidP="007E27A7">
      <w:pPr>
        <w:pStyle w:val="Szvegtrzsbehzssal"/>
        <w:spacing w:before="40"/>
        <w:ind w:left="0"/>
        <w:rPr>
          <w:b/>
          <w:bCs/>
        </w:rPr>
      </w:pPr>
      <w:r>
        <w:rPr>
          <w:b/>
          <w:bCs/>
        </w:rPr>
        <w:t>Higiéniai intézkedések:</w:t>
      </w:r>
    </w:p>
    <w:p w:rsidR="00F1637D" w:rsidRDefault="00F1637D" w:rsidP="00874D02">
      <w:pPr>
        <w:pStyle w:val="Szvegtrzsbehzssal"/>
        <w:numPr>
          <w:ilvl w:val="0"/>
          <w:numId w:val="38"/>
        </w:numPr>
        <w:spacing w:before="0"/>
        <w:ind w:left="714" w:hanging="357"/>
      </w:pPr>
      <w:r>
        <w:t>Tartsuk távol élelmiszerektől, italoktól és takarmányoktól.</w:t>
      </w:r>
    </w:p>
    <w:p w:rsidR="00F1637D" w:rsidRDefault="00F1637D" w:rsidP="00874D02">
      <w:pPr>
        <w:pStyle w:val="Szvegtrzsbehzssal"/>
        <w:numPr>
          <w:ilvl w:val="0"/>
          <w:numId w:val="38"/>
        </w:numPr>
        <w:spacing w:before="0"/>
        <w:ind w:left="714" w:hanging="357"/>
      </w:pPr>
      <w:r>
        <w:t>Körültekintő munkával, használattal kerüljük el a termék szembejutását!</w:t>
      </w:r>
    </w:p>
    <w:p w:rsidR="00F1637D" w:rsidRDefault="00F1637D" w:rsidP="00F640E1">
      <w:pPr>
        <w:pStyle w:val="Szvegtrzsbehzssal"/>
        <w:spacing w:before="80"/>
        <w:ind w:left="0"/>
        <w:rPr>
          <w:b/>
          <w:bCs/>
        </w:rPr>
      </w:pPr>
      <w:r w:rsidRPr="00CA2702">
        <w:rPr>
          <w:b/>
          <w:bCs/>
        </w:rPr>
        <w:t>Személyi védőfelszerelések</w:t>
      </w:r>
      <w:r>
        <w:rPr>
          <w:b/>
          <w:bCs/>
        </w:rPr>
        <w:t xml:space="preserve"> lakossági felhasználás esetén:</w:t>
      </w:r>
    </w:p>
    <w:p w:rsidR="00F1637D" w:rsidRDefault="00F1637D" w:rsidP="00CA2702">
      <w:pPr>
        <w:pStyle w:val="Szvegtrzsbehzssal"/>
        <w:numPr>
          <w:ilvl w:val="0"/>
          <w:numId w:val="38"/>
        </w:numPr>
        <w:tabs>
          <w:tab w:val="clear" w:pos="1701"/>
        </w:tabs>
        <w:spacing w:before="0"/>
        <w:ind w:left="709"/>
      </w:pPr>
      <w:r w:rsidRPr="00874D02">
        <w:rPr>
          <w:b/>
          <w:bCs/>
        </w:rPr>
        <w:t>Légutak védelme:</w:t>
      </w:r>
      <w:r w:rsidRPr="00874D02">
        <w:t xml:space="preserve"> nem szükséges</w:t>
      </w:r>
      <w:r>
        <w:t>.</w:t>
      </w:r>
    </w:p>
    <w:p w:rsidR="00F1637D" w:rsidRPr="006727E5" w:rsidRDefault="00F1637D" w:rsidP="00A75279">
      <w:pPr>
        <w:pStyle w:val="Szvegtrzsbehzssal"/>
        <w:numPr>
          <w:ilvl w:val="0"/>
          <w:numId w:val="38"/>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F1637D" w:rsidRPr="00CA2702" w:rsidRDefault="00F1637D" w:rsidP="00A75279">
      <w:pPr>
        <w:pStyle w:val="Szvegtrzsbehzssal"/>
        <w:numPr>
          <w:ilvl w:val="0"/>
          <w:numId w:val="38"/>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F1637D" w:rsidRPr="000376BB" w:rsidRDefault="00F1637D" w:rsidP="00874D02">
      <w:pPr>
        <w:pStyle w:val="Szvegtrzsbehzssal"/>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F1637D" w:rsidRDefault="00F1637D"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F1637D" w:rsidRDefault="00F1637D"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1637D" w:rsidRDefault="00F1637D"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F1637D" w:rsidRDefault="00F1637D"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F1637D" w:rsidRDefault="00F1637D"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F1637D" w:rsidRPr="00DE2E56" w:rsidRDefault="00F1637D"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1637D" w:rsidRDefault="00F1637D"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(tömény oldat, 20°C-on)</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lastRenderedPageBreak/>
        <w:t>Forrás/dermedéspont:</w:t>
      </w:r>
      <w:r>
        <w:rPr>
          <w:rFonts w:ascii="Tahoma" w:hAnsi="Tahoma" w:cs="Tahoma"/>
          <w:snapToGrid w:val="0"/>
        </w:rPr>
        <w:tab/>
        <w:t>nincs adat</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1637D" w:rsidRDefault="00F1637D"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F1637D" w:rsidRDefault="00F1637D"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F1637D" w:rsidRDefault="00F1637D"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F1637D" w:rsidRDefault="00F1637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F1637D" w:rsidRPr="00530275" w:rsidRDefault="00F1637D"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F1637D" w:rsidRPr="00530275" w:rsidRDefault="00F1637D"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F1637D" w:rsidRPr="00D80FB5" w:rsidRDefault="00F1637D"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F1637D" w:rsidRDefault="00F1637D"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F1637D" w:rsidRDefault="00F1637D"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F1637D" w:rsidRPr="00530275" w:rsidRDefault="00F1637D"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F1637D" w:rsidRPr="00F640E1" w:rsidRDefault="00F1637D" w:rsidP="006A0D13">
      <w:pPr>
        <w:pStyle w:val="Szvegtrzsbehzssal"/>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F1637D" w:rsidRDefault="00F1637D" w:rsidP="00FD4F82">
      <w:pPr>
        <w:pStyle w:val="Szvegtrzsbehzssal"/>
        <w:ind w:left="0"/>
        <w:rPr>
          <w:b/>
          <w:bCs/>
        </w:rPr>
      </w:pPr>
      <w:r>
        <w:rPr>
          <w:b/>
          <w:bCs/>
        </w:rPr>
        <w:t xml:space="preserve">Primer irritációs hatások: </w:t>
      </w:r>
    </w:p>
    <w:p w:rsidR="00F1637D" w:rsidRDefault="00F1637D" w:rsidP="006A0D13">
      <w:pPr>
        <w:pStyle w:val="Szvegtrzsbehzssal"/>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F1637D" w:rsidRDefault="00F1637D" w:rsidP="006A0D13">
      <w:pPr>
        <w:pStyle w:val="Szvegtrzsbehzssal"/>
        <w:spacing w:before="0"/>
        <w:ind w:left="0" w:firstLine="426"/>
        <w:rPr>
          <w:b/>
          <w:bCs/>
        </w:rPr>
      </w:pPr>
      <w:r>
        <w:rPr>
          <w:b/>
          <w:bCs/>
        </w:rPr>
        <w:t>Szenzibilizáció:</w:t>
      </w:r>
      <w:r w:rsidRPr="00FD4F82">
        <w:t xml:space="preserve"> szenzibilizáló hatás nem ismert.</w:t>
      </w:r>
    </w:p>
    <w:p w:rsidR="00F1637D" w:rsidRDefault="00F1637D" w:rsidP="00FD4F82">
      <w:pPr>
        <w:pStyle w:val="Szvegtrzsbehzssal"/>
        <w:ind w:left="0"/>
      </w:pPr>
      <w:r w:rsidRPr="00FD4F82">
        <w:rPr>
          <w:b/>
          <w:bCs/>
        </w:rPr>
        <w:t xml:space="preserve">Toxikokinetika, metabolizmus, eloszlás: </w:t>
      </w:r>
      <w:r>
        <w:t>nem ismert.</w:t>
      </w:r>
    </w:p>
    <w:p w:rsidR="00F1637D" w:rsidRDefault="00F1637D" w:rsidP="00FD4F82">
      <w:pPr>
        <w:pStyle w:val="Szvegtrzsbehzssal"/>
        <w:spacing w:before="20"/>
        <w:ind w:left="0"/>
      </w:pPr>
      <w:r w:rsidRPr="00FD4F82">
        <w:rPr>
          <w:b/>
          <w:bCs/>
        </w:rPr>
        <w:t xml:space="preserve">Ismételt dózisú toxicitás: </w:t>
      </w:r>
      <w:r>
        <w:t>nem ismert.</w:t>
      </w:r>
    </w:p>
    <w:p w:rsidR="00F1637D" w:rsidRDefault="00F1637D" w:rsidP="006A0D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F1637D" w:rsidRDefault="00F1637D" w:rsidP="006A0D13">
      <w:pPr>
        <w:pStyle w:val="Szvegtrzsbehzssal"/>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F1637D" w:rsidRDefault="00F1637D"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F1637D" w:rsidRDefault="00F1637D"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F1637D" w:rsidRDefault="00F1637D" w:rsidP="009062AF">
      <w:pPr>
        <w:pStyle w:val="Szvegtrzsbehzssal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F1637D" w:rsidRDefault="00F1637D"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F1637D" w:rsidRDefault="00F1637D" w:rsidP="000F0E73">
      <w:pPr>
        <w:pStyle w:val="Szvegtrzsbehzssal2"/>
        <w:spacing w:before="60"/>
        <w:ind w:left="0"/>
      </w:pPr>
      <w:r w:rsidRPr="0083583D">
        <w:rPr>
          <w:b/>
          <w:bCs/>
        </w:rPr>
        <w:t>12.5. A PBT és vPvB értékelés:</w:t>
      </w:r>
      <w:r>
        <w:t xml:space="preserve"> nem alkalmazható.</w:t>
      </w:r>
    </w:p>
    <w:p w:rsidR="00F1637D" w:rsidRPr="001A71E5" w:rsidRDefault="00F1637D"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13. szakasz: Ártalmatlanítási szempontok</w:t>
      </w:r>
    </w:p>
    <w:p w:rsidR="00F1637D" w:rsidRDefault="00F1637D"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F1637D" w:rsidRDefault="00F1637D"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F1637D" w:rsidRDefault="00F1637D"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F1637D" w:rsidRPr="001F6E55" w:rsidRDefault="00F1637D"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F1637D" w:rsidRPr="001F6E55" w:rsidRDefault="00F1637D"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1637D" w:rsidRDefault="00F1637D" w:rsidP="0021620D">
      <w:pPr>
        <w:pStyle w:val="Szvegtrzsbehzssal"/>
        <w:ind w:left="0"/>
      </w:pPr>
      <w:r w:rsidRPr="00AF549D">
        <w:t>A csomagolási hulladékkal kapcsolatos hulladékgazdálkodási tevékenységet a 442/2012. (XII.29.) Kormányrendelet szabályozza.</w:t>
      </w:r>
    </w:p>
    <w:p w:rsidR="00F1637D" w:rsidRDefault="00F1637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F1637D" w:rsidRPr="007E27A7" w:rsidRDefault="00F1637D"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F1637D" w:rsidRDefault="00F1637D" w:rsidP="008E689F">
      <w:pPr>
        <w:pStyle w:val="Szvegtrzsbehzssal"/>
        <w:ind w:left="0"/>
        <w:rPr>
          <w:b/>
          <w:bCs/>
        </w:rPr>
      </w:pPr>
      <w:r>
        <w:rPr>
          <w:b/>
          <w:bCs/>
        </w:rPr>
        <w:t>15.1. A keverékkel kapcsolatos biztonsági, egészségügyi és környezetvédelmi előírások/jogszabályok</w:t>
      </w:r>
    </w:p>
    <w:p w:rsidR="00F1637D" w:rsidRDefault="00F1637D" w:rsidP="007E27A7">
      <w:pPr>
        <w:pStyle w:val="Szvegtrzsbehzssal"/>
        <w:keepNext/>
        <w:widowControl w:val="0"/>
        <w:spacing w:before="80"/>
        <w:ind w:left="0"/>
        <w:rPr>
          <w:b/>
          <w:bCs/>
        </w:rPr>
      </w:pPr>
      <w:r>
        <w:rPr>
          <w:b/>
          <w:bCs/>
        </w:rPr>
        <w:t>Vonatkozó közösségi joganyagok</w:t>
      </w:r>
    </w:p>
    <w:p w:rsidR="00F1637D" w:rsidRPr="00A229DB" w:rsidRDefault="00F1637D" w:rsidP="009F1846">
      <w:pPr>
        <w:pStyle w:val="Szvegtrzsbehzssal"/>
        <w:spacing w:before="0"/>
        <w:ind w:left="0"/>
      </w:pPr>
      <w:r w:rsidRPr="00A229DB">
        <w:t>REACH rendelet</w:t>
      </w:r>
      <w:r>
        <w:t xml:space="preserve">: </w:t>
      </w:r>
      <w:r w:rsidRPr="00A229DB">
        <w:t>1907/2006/EK és módosításai</w:t>
      </w:r>
      <w:r>
        <w:t>;</w:t>
      </w:r>
      <w:r w:rsidRPr="00A229DB">
        <w:t xml:space="preserve"> CLP-rendelet: 1272/2008/EK és módosításai</w:t>
      </w:r>
    </w:p>
    <w:p w:rsidR="00F1637D" w:rsidRPr="00A229DB" w:rsidRDefault="00F1637D" w:rsidP="009F1846">
      <w:pPr>
        <w:pStyle w:val="Szvegtrzsbehzssal"/>
        <w:spacing w:before="0"/>
        <w:ind w:left="0"/>
      </w:pPr>
      <w:r>
        <w:t>Tisztítószer-rendelet: 648/2004/EK és módosításai</w:t>
      </w:r>
    </w:p>
    <w:p w:rsidR="00F1637D" w:rsidRDefault="00F1637D" w:rsidP="0021620D">
      <w:pPr>
        <w:pStyle w:val="Szvegtrzsbehzssal"/>
        <w:spacing w:before="0"/>
        <w:ind w:left="0"/>
      </w:pPr>
      <w:r w:rsidRPr="00A229DB">
        <w:t xml:space="preserve">DSD és DPD-irányelv: 67/548/EGK és 1999/45/EK és módosításai </w:t>
      </w:r>
    </w:p>
    <w:p w:rsidR="00F1637D" w:rsidRPr="008D4C21" w:rsidRDefault="00F1637D" w:rsidP="007E27A7">
      <w:pPr>
        <w:pStyle w:val="Szvegtrzsbehzssal"/>
        <w:keepNext/>
        <w:widowControl w:val="0"/>
        <w:spacing w:before="80"/>
        <w:ind w:left="0"/>
        <w:rPr>
          <w:b/>
          <w:bCs/>
        </w:rPr>
      </w:pPr>
      <w:r w:rsidRPr="008D4C21">
        <w:rPr>
          <w:b/>
          <w:bCs/>
        </w:rPr>
        <w:t>Vonatkozó nemzeti joganyagok</w:t>
      </w:r>
    </w:p>
    <w:p w:rsidR="00F1637D" w:rsidRPr="00CA61B2" w:rsidRDefault="00F1637D"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F1637D" w:rsidRPr="008D4C21" w:rsidRDefault="00F1637D"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F1637D" w:rsidRPr="008D4C21" w:rsidRDefault="00F1637D"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1637D" w:rsidRPr="008D4C21" w:rsidRDefault="00F1637D"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F1637D" w:rsidRPr="008D4C21" w:rsidRDefault="00F1637D"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F1637D" w:rsidRPr="00CA61B2" w:rsidRDefault="00F1637D"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F1637D" w:rsidRDefault="00F1637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F1637D" w:rsidRDefault="00F1637D" w:rsidP="004E55EB">
      <w:pPr>
        <w:pStyle w:val="Szvegtrzsbehzssal"/>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w:t>
      </w:r>
      <w:r w:rsidRPr="00EC0BAC">
        <w:lastRenderedPageBreak/>
        <w:t>javaslatainkért, és az ajánlásainkért garanciát vállalni nem tudunk, hiszen a felhasználás körülményei hatáskörünkön kívül esnek.</w:t>
      </w:r>
      <w:r>
        <w:t xml:space="preserve"> </w:t>
      </w:r>
    </w:p>
    <w:p w:rsidR="00F1637D" w:rsidRDefault="00F1637D"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F1637D" w:rsidRDefault="00F1637D"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F1637D" w:rsidRDefault="00F1637D" w:rsidP="006A0D13">
      <w:pPr>
        <w:pStyle w:val="Szvegtrzsbehzssal"/>
        <w:tabs>
          <w:tab w:val="left" w:pos="851"/>
          <w:tab w:val="left" w:pos="1276"/>
        </w:tabs>
        <w:spacing w:before="0" w:after="60"/>
        <w:ind w:left="0" w:firstLine="425"/>
        <w:rPr>
          <w:b/>
          <w:bCs/>
        </w:rPr>
      </w:pPr>
      <w:r>
        <w:t>Xi: Irritatív, Xn: Ártalmas</w:t>
      </w:r>
    </w:p>
    <w:p w:rsidR="00F1637D" w:rsidRPr="001F10D6" w:rsidRDefault="00F1637D" w:rsidP="006A0D13">
      <w:pPr>
        <w:pStyle w:val="Szvegtrzsbehzssal"/>
        <w:tabs>
          <w:tab w:val="clear" w:pos="1701"/>
          <w:tab w:val="left" w:pos="1276"/>
        </w:tabs>
        <w:spacing w:before="0"/>
        <w:ind w:left="0" w:firstLine="426"/>
      </w:pPr>
      <w:r w:rsidRPr="001F10D6">
        <w:t>R 21/22</w:t>
      </w:r>
      <w:r w:rsidRPr="001F10D6">
        <w:tab/>
        <w:t>Bőrrel érintkezve és lenyelve ártalmas.</w:t>
      </w:r>
    </w:p>
    <w:p w:rsidR="00F1637D" w:rsidRDefault="00F1637D"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F1637D" w:rsidRDefault="00F1637D"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F1637D" w:rsidRDefault="00F1637D"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F1637D" w:rsidRPr="006B2FFA" w:rsidRDefault="00F1637D"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F1637D" w:rsidRDefault="00F1637D" w:rsidP="006A0D13">
      <w:pPr>
        <w:pStyle w:val="Szvegtrzsbehzssal"/>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F1637D" w:rsidRPr="001F10D6" w:rsidRDefault="00F1637D" w:rsidP="006A0D13">
      <w:pPr>
        <w:pStyle w:val="Szvegtrzsbehzssal"/>
        <w:tabs>
          <w:tab w:val="clear" w:pos="1701"/>
          <w:tab w:val="left" w:pos="851"/>
          <w:tab w:val="left" w:pos="1276"/>
        </w:tabs>
        <w:spacing w:before="0"/>
        <w:ind w:left="0" w:firstLine="426"/>
      </w:pPr>
      <w:r w:rsidRPr="001F10D6">
        <w:t>H302</w:t>
      </w:r>
      <w:r w:rsidRPr="001F10D6">
        <w:tab/>
        <w:t>Lenyelve ártalmas.</w:t>
      </w:r>
    </w:p>
    <w:p w:rsidR="00F1637D" w:rsidRPr="001F10D6" w:rsidRDefault="00F1637D" w:rsidP="006A0D13">
      <w:pPr>
        <w:pStyle w:val="Szvegtrzsbehzssal"/>
        <w:tabs>
          <w:tab w:val="left" w:pos="1276"/>
          <w:tab w:val="left" w:pos="1418"/>
        </w:tabs>
        <w:spacing w:before="0"/>
        <w:ind w:left="284" w:firstLine="142"/>
        <w:jc w:val="left"/>
      </w:pPr>
      <w:r w:rsidRPr="001F10D6">
        <w:t>H315</w:t>
      </w:r>
      <w:r w:rsidRPr="001F10D6">
        <w:tab/>
        <w:t>Bőrirritáló hatású.</w:t>
      </w:r>
    </w:p>
    <w:p w:rsidR="00F1637D" w:rsidRPr="001F10D6" w:rsidRDefault="00F1637D" w:rsidP="006A0D13">
      <w:pPr>
        <w:pStyle w:val="Szvegtrzsbehzssal"/>
        <w:tabs>
          <w:tab w:val="left" w:pos="1276"/>
          <w:tab w:val="left" w:pos="1418"/>
        </w:tabs>
        <w:spacing w:before="0"/>
        <w:ind w:left="284" w:firstLine="142"/>
        <w:jc w:val="left"/>
      </w:pPr>
      <w:r w:rsidRPr="001F10D6">
        <w:t>H312</w:t>
      </w:r>
      <w:r w:rsidRPr="001F10D6">
        <w:tab/>
        <w:t>Bőrrel érintkezve ártalmas.</w:t>
      </w:r>
    </w:p>
    <w:p w:rsidR="00F1637D" w:rsidRPr="001F10D6" w:rsidRDefault="00F1637D" w:rsidP="006A0D13">
      <w:pPr>
        <w:pStyle w:val="Szvegtrzsbehzssal"/>
        <w:tabs>
          <w:tab w:val="left" w:pos="1276"/>
          <w:tab w:val="left" w:pos="1418"/>
        </w:tabs>
        <w:spacing w:before="0"/>
        <w:ind w:left="284" w:firstLine="142"/>
        <w:jc w:val="left"/>
      </w:pPr>
      <w:r w:rsidRPr="001F10D6">
        <w:t>H318</w:t>
      </w:r>
      <w:r w:rsidRPr="001F10D6">
        <w:tab/>
        <w:t>Súlyos szemkárosodást okoz.</w:t>
      </w:r>
    </w:p>
    <w:p w:rsidR="00F1637D" w:rsidRPr="00EE4E2A" w:rsidRDefault="00F1637D" w:rsidP="006A0D13">
      <w:pPr>
        <w:pStyle w:val="Szvegtrzsbehzssal"/>
        <w:tabs>
          <w:tab w:val="left" w:pos="1276"/>
          <w:tab w:val="left" w:pos="1418"/>
        </w:tabs>
        <w:spacing w:before="0"/>
        <w:ind w:left="284" w:firstLine="142"/>
        <w:jc w:val="left"/>
      </w:pPr>
      <w:r w:rsidRPr="001F10D6">
        <w:t>H412</w:t>
      </w:r>
      <w:r w:rsidRPr="001F10D6">
        <w:tab/>
        <w:t>Ártalmas a vízi élővilágra, hosszan tartó károsodást okoz.</w:t>
      </w:r>
    </w:p>
    <w:p w:rsidR="00F1637D" w:rsidRPr="006553AB" w:rsidRDefault="00F1637D"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2016. április 04-én.</w:t>
      </w:r>
    </w:p>
    <w:sectPr w:rsidR="00F1637D"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B7" w:rsidRDefault="006B65B7">
      <w:r>
        <w:separator/>
      </w:r>
    </w:p>
  </w:endnote>
  <w:endnote w:type="continuationSeparator" w:id="0">
    <w:p w:rsidR="006B65B7" w:rsidRDefault="006B6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B7" w:rsidRDefault="006B65B7">
      <w:r>
        <w:separator/>
      </w:r>
    </w:p>
  </w:footnote>
  <w:footnote w:type="continuationSeparator" w:id="0">
    <w:p w:rsidR="006B65B7" w:rsidRDefault="006B65B7">
      <w:r>
        <w:continuationSeparator/>
      </w:r>
    </w:p>
  </w:footnote>
  <w:footnote w:id="1">
    <w:p w:rsidR="00F1637D" w:rsidRDefault="00F1637D"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F1637D" w:rsidRDefault="00F1637D"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F1637D" w:rsidRDefault="00F1637D"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F1637D" w:rsidRDefault="00F1637D" w:rsidP="005C2DC1">
      <w:pPr>
        <w:pStyle w:val="Lbjegyzetszveg"/>
      </w:pPr>
      <w:r w:rsidRPr="00E7460B">
        <w:rPr>
          <w:rStyle w:val="Lbjegyzet-hivatkozs"/>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F1637D" w:rsidRDefault="00F1637D" w:rsidP="005C2DC1">
      <w:pPr>
        <w:pStyle w:val="Lbjegyzetszveg"/>
      </w:pPr>
      <w:r w:rsidRPr="00E7460B">
        <w:rPr>
          <w:rStyle w:val="Lbjegyzet-hivatkozs"/>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F1637D" w:rsidRDefault="00F1637D"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F1637D" w:rsidRDefault="00F1637D"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F1637D" w:rsidRDefault="00F1637D"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7D" w:rsidRDefault="005B2AB6"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F1637D">
      <w:rPr>
        <w:rFonts w:ascii="Tahoma" w:hAnsi="Tahoma" w:cs="Tahoma"/>
        <w:noProof/>
        <w:sz w:val="14"/>
        <w:szCs w:val="14"/>
      </w:rPr>
      <w:t>Reál mosogatószer - balzsamos</w:t>
    </w:r>
    <w:r w:rsidR="00F1637D">
      <w:rPr>
        <w:rFonts w:ascii="Tahoma" w:hAnsi="Tahoma" w:cs="Tahoma"/>
        <w:noProof/>
        <w:sz w:val="14"/>
        <w:szCs w:val="14"/>
      </w:rPr>
      <w:tab/>
    </w:r>
  </w:p>
  <w:p w:rsidR="00F1637D" w:rsidRDefault="00F1637D"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F1637D" w:rsidRDefault="00F1637D"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április 04. </w:t>
    </w:r>
    <w:r>
      <w:rPr>
        <w:rFonts w:ascii="Tahoma" w:hAnsi="Tahoma" w:cs="Tahoma"/>
        <w:noProof/>
        <w:sz w:val="14"/>
        <w:szCs w:val="14"/>
      </w:rPr>
      <w:tab/>
    </w:r>
    <w:r w:rsidR="004D6860">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4D6860">
      <w:rPr>
        <w:rStyle w:val="Oldalszm"/>
        <w:rFonts w:ascii="Tahoma" w:hAnsi="Tahoma" w:cs="Tahoma"/>
        <w:sz w:val="14"/>
        <w:szCs w:val="14"/>
      </w:rPr>
      <w:fldChar w:fldCharType="separate"/>
    </w:r>
    <w:r w:rsidR="005B2AB6">
      <w:rPr>
        <w:rStyle w:val="Oldalszm"/>
        <w:rFonts w:ascii="Tahoma" w:hAnsi="Tahoma" w:cs="Tahoma"/>
        <w:noProof/>
        <w:sz w:val="14"/>
        <w:szCs w:val="14"/>
      </w:rPr>
      <w:t>6</w:t>
    </w:r>
    <w:r w:rsidR="004D6860">
      <w:rPr>
        <w:rStyle w:val="Oldalszm"/>
        <w:rFonts w:ascii="Tahoma" w:hAnsi="Tahoma" w:cs="Tahoma"/>
        <w:sz w:val="14"/>
        <w:szCs w:val="14"/>
      </w:rPr>
      <w:fldChar w:fldCharType="end"/>
    </w:r>
    <w:r>
      <w:rPr>
        <w:rStyle w:val="Oldalszm"/>
        <w:rFonts w:ascii="Tahoma" w:hAnsi="Tahoma" w:cs="Tahoma"/>
        <w:sz w:val="14"/>
        <w:szCs w:val="14"/>
      </w:rPr>
      <w:t>/</w:t>
    </w:r>
    <w:r w:rsidR="004D6860">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4D6860">
      <w:rPr>
        <w:rStyle w:val="Oldalszm"/>
        <w:rFonts w:ascii="Tahoma" w:hAnsi="Tahoma" w:cs="Tahoma"/>
        <w:sz w:val="14"/>
        <w:szCs w:val="14"/>
      </w:rPr>
      <w:fldChar w:fldCharType="separate"/>
    </w:r>
    <w:r w:rsidR="005B2AB6">
      <w:rPr>
        <w:rStyle w:val="Oldalszm"/>
        <w:rFonts w:ascii="Tahoma" w:hAnsi="Tahoma" w:cs="Tahoma"/>
        <w:noProof/>
        <w:sz w:val="14"/>
        <w:szCs w:val="14"/>
      </w:rPr>
      <w:t>6</w:t>
    </w:r>
    <w:r w:rsidR="004D6860">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7"/>
  </w:num>
  <w:num w:numId="20">
    <w:abstractNumId w:val="21"/>
  </w:num>
  <w:num w:numId="21">
    <w:abstractNumId w:val="19"/>
  </w:num>
  <w:num w:numId="22">
    <w:abstractNumId w:val="22"/>
  </w:num>
  <w:num w:numId="23">
    <w:abstractNumId w:val="17"/>
  </w:num>
  <w:num w:numId="24">
    <w:abstractNumId w:val="3"/>
  </w:num>
  <w:num w:numId="25">
    <w:abstractNumId w:val="12"/>
  </w:num>
  <w:num w:numId="26">
    <w:abstractNumId w:val="6"/>
  </w:num>
  <w:num w:numId="27">
    <w:abstractNumId w:val="2"/>
  </w:num>
  <w:num w:numId="28">
    <w:abstractNumId w:val="15"/>
  </w:num>
  <w:num w:numId="29">
    <w:abstractNumId w:val="8"/>
  </w:num>
  <w:num w:numId="30">
    <w:abstractNumId w:val="14"/>
  </w:num>
  <w:num w:numId="31">
    <w:abstractNumId w:val="4"/>
  </w:num>
  <w:num w:numId="32">
    <w:abstractNumId w:val="20"/>
  </w:num>
  <w:num w:numId="33">
    <w:abstractNumId w:val="9"/>
  </w:num>
  <w:num w:numId="34">
    <w:abstractNumId w:val="23"/>
  </w:num>
  <w:num w:numId="35">
    <w:abstractNumId w:val="13"/>
  </w:num>
  <w:num w:numId="36">
    <w:abstractNumId w:val="1"/>
  </w:num>
  <w:num w:numId="37">
    <w:abstractNumId w:val="18"/>
  </w:num>
  <w:num w:numId="38">
    <w:abstractNumId w:val="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5E83"/>
    <w:rsid w:val="00097A4E"/>
    <w:rsid w:val="000A03A4"/>
    <w:rsid w:val="000A17CF"/>
    <w:rsid w:val="000A1905"/>
    <w:rsid w:val="000A36D7"/>
    <w:rsid w:val="000B03BD"/>
    <w:rsid w:val="000B35E5"/>
    <w:rsid w:val="000B4537"/>
    <w:rsid w:val="000C1EB0"/>
    <w:rsid w:val="000C4FD4"/>
    <w:rsid w:val="000C570C"/>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0DFA"/>
    <w:rsid w:val="001610D0"/>
    <w:rsid w:val="00172A90"/>
    <w:rsid w:val="00173BF9"/>
    <w:rsid w:val="00176539"/>
    <w:rsid w:val="00182763"/>
    <w:rsid w:val="00184F11"/>
    <w:rsid w:val="001866BA"/>
    <w:rsid w:val="001875AB"/>
    <w:rsid w:val="00196D8C"/>
    <w:rsid w:val="001A4139"/>
    <w:rsid w:val="001A4626"/>
    <w:rsid w:val="001A6D1E"/>
    <w:rsid w:val="001A71A9"/>
    <w:rsid w:val="001A71E5"/>
    <w:rsid w:val="001B5B76"/>
    <w:rsid w:val="001C5776"/>
    <w:rsid w:val="001C7049"/>
    <w:rsid w:val="001C77FE"/>
    <w:rsid w:val="001D1A25"/>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2AA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6423"/>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5073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6090"/>
    <w:rsid w:val="004C1FE7"/>
    <w:rsid w:val="004D3DF8"/>
    <w:rsid w:val="004D430B"/>
    <w:rsid w:val="004D5835"/>
    <w:rsid w:val="004D6860"/>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34C9B"/>
    <w:rsid w:val="00546D71"/>
    <w:rsid w:val="0055089F"/>
    <w:rsid w:val="0055205D"/>
    <w:rsid w:val="00562764"/>
    <w:rsid w:val="0056484A"/>
    <w:rsid w:val="00570043"/>
    <w:rsid w:val="0057423A"/>
    <w:rsid w:val="005818AB"/>
    <w:rsid w:val="0058246F"/>
    <w:rsid w:val="00583F32"/>
    <w:rsid w:val="005840A9"/>
    <w:rsid w:val="005906FB"/>
    <w:rsid w:val="00590BE6"/>
    <w:rsid w:val="0059673E"/>
    <w:rsid w:val="00596E7B"/>
    <w:rsid w:val="005A11A7"/>
    <w:rsid w:val="005A1937"/>
    <w:rsid w:val="005A395F"/>
    <w:rsid w:val="005A453F"/>
    <w:rsid w:val="005B2AB6"/>
    <w:rsid w:val="005C2DC1"/>
    <w:rsid w:val="005C358B"/>
    <w:rsid w:val="005C3AF3"/>
    <w:rsid w:val="005C3B1E"/>
    <w:rsid w:val="005C50EE"/>
    <w:rsid w:val="005D61BA"/>
    <w:rsid w:val="005E6B01"/>
    <w:rsid w:val="005F0A49"/>
    <w:rsid w:val="005F7860"/>
    <w:rsid w:val="00603B9F"/>
    <w:rsid w:val="00603F74"/>
    <w:rsid w:val="00611589"/>
    <w:rsid w:val="00615561"/>
    <w:rsid w:val="006160C9"/>
    <w:rsid w:val="00616803"/>
    <w:rsid w:val="0062027F"/>
    <w:rsid w:val="00623045"/>
    <w:rsid w:val="00626A8E"/>
    <w:rsid w:val="00630FE0"/>
    <w:rsid w:val="00632BAE"/>
    <w:rsid w:val="0063581C"/>
    <w:rsid w:val="00641A4C"/>
    <w:rsid w:val="00642786"/>
    <w:rsid w:val="00653031"/>
    <w:rsid w:val="006553AB"/>
    <w:rsid w:val="006608A9"/>
    <w:rsid w:val="006608CB"/>
    <w:rsid w:val="006657B2"/>
    <w:rsid w:val="006660B2"/>
    <w:rsid w:val="00670F3E"/>
    <w:rsid w:val="0067132A"/>
    <w:rsid w:val="006727E5"/>
    <w:rsid w:val="00675D5C"/>
    <w:rsid w:val="00681260"/>
    <w:rsid w:val="00682C9C"/>
    <w:rsid w:val="00683C91"/>
    <w:rsid w:val="0068681B"/>
    <w:rsid w:val="00696C6B"/>
    <w:rsid w:val="006A0D13"/>
    <w:rsid w:val="006A2F2A"/>
    <w:rsid w:val="006A3E07"/>
    <w:rsid w:val="006B0DCF"/>
    <w:rsid w:val="006B2FFA"/>
    <w:rsid w:val="006B4AF8"/>
    <w:rsid w:val="006B65B7"/>
    <w:rsid w:val="006B77A6"/>
    <w:rsid w:val="006C022D"/>
    <w:rsid w:val="006C601A"/>
    <w:rsid w:val="006C7748"/>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650"/>
    <w:rsid w:val="0074610E"/>
    <w:rsid w:val="007476A0"/>
    <w:rsid w:val="00747813"/>
    <w:rsid w:val="007507A9"/>
    <w:rsid w:val="0076309D"/>
    <w:rsid w:val="00763ACA"/>
    <w:rsid w:val="00764471"/>
    <w:rsid w:val="0076637C"/>
    <w:rsid w:val="007740E1"/>
    <w:rsid w:val="007777B8"/>
    <w:rsid w:val="00783638"/>
    <w:rsid w:val="00783CBE"/>
    <w:rsid w:val="00790F3B"/>
    <w:rsid w:val="00791331"/>
    <w:rsid w:val="007932D3"/>
    <w:rsid w:val="00795802"/>
    <w:rsid w:val="00797D23"/>
    <w:rsid w:val="007A127F"/>
    <w:rsid w:val="007A4FE6"/>
    <w:rsid w:val="007A671F"/>
    <w:rsid w:val="007A6D7B"/>
    <w:rsid w:val="007B2523"/>
    <w:rsid w:val="007B4957"/>
    <w:rsid w:val="007C0E18"/>
    <w:rsid w:val="007C3FA9"/>
    <w:rsid w:val="007C42C0"/>
    <w:rsid w:val="007D2222"/>
    <w:rsid w:val="007D23DA"/>
    <w:rsid w:val="007D4273"/>
    <w:rsid w:val="007D44D3"/>
    <w:rsid w:val="007D619B"/>
    <w:rsid w:val="007D7BBA"/>
    <w:rsid w:val="007E27A7"/>
    <w:rsid w:val="007E40C9"/>
    <w:rsid w:val="007E4261"/>
    <w:rsid w:val="007E705C"/>
    <w:rsid w:val="007F0B8B"/>
    <w:rsid w:val="007F4E5E"/>
    <w:rsid w:val="007F5045"/>
    <w:rsid w:val="008028BD"/>
    <w:rsid w:val="00802D14"/>
    <w:rsid w:val="00803F44"/>
    <w:rsid w:val="008056B9"/>
    <w:rsid w:val="00805755"/>
    <w:rsid w:val="00812AF1"/>
    <w:rsid w:val="00815AEC"/>
    <w:rsid w:val="0081624A"/>
    <w:rsid w:val="00816AE4"/>
    <w:rsid w:val="008200AA"/>
    <w:rsid w:val="008251D5"/>
    <w:rsid w:val="00825594"/>
    <w:rsid w:val="00825D1D"/>
    <w:rsid w:val="00830A55"/>
    <w:rsid w:val="008316F6"/>
    <w:rsid w:val="0083170B"/>
    <w:rsid w:val="0083206B"/>
    <w:rsid w:val="0083583D"/>
    <w:rsid w:val="0084435D"/>
    <w:rsid w:val="00851EA0"/>
    <w:rsid w:val="00855506"/>
    <w:rsid w:val="00856068"/>
    <w:rsid w:val="00857BC3"/>
    <w:rsid w:val="0086070F"/>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5A64"/>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6B73"/>
    <w:rsid w:val="009849DD"/>
    <w:rsid w:val="00994564"/>
    <w:rsid w:val="00995C93"/>
    <w:rsid w:val="009A1225"/>
    <w:rsid w:val="009A7620"/>
    <w:rsid w:val="009B057A"/>
    <w:rsid w:val="009B197B"/>
    <w:rsid w:val="009B325F"/>
    <w:rsid w:val="009B39F9"/>
    <w:rsid w:val="009B6108"/>
    <w:rsid w:val="009B6461"/>
    <w:rsid w:val="009C09DF"/>
    <w:rsid w:val="009C1D9A"/>
    <w:rsid w:val="009C5FED"/>
    <w:rsid w:val="009C70CF"/>
    <w:rsid w:val="009D096A"/>
    <w:rsid w:val="009D39F4"/>
    <w:rsid w:val="009D663D"/>
    <w:rsid w:val="009E174D"/>
    <w:rsid w:val="009E3DFE"/>
    <w:rsid w:val="009E5EDC"/>
    <w:rsid w:val="009F1846"/>
    <w:rsid w:val="00A0044A"/>
    <w:rsid w:val="00A012C1"/>
    <w:rsid w:val="00A018D0"/>
    <w:rsid w:val="00A111E6"/>
    <w:rsid w:val="00A15CE7"/>
    <w:rsid w:val="00A20128"/>
    <w:rsid w:val="00A20AF1"/>
    <w:rsid w:val="00A21715"/>
    <w:rsid w:val="00A229DB"/>
    <w:rsid w:val="00A254C1"/>
    <w:rsid w:val="00A25544"/>
    <w:rsid w:val="00A31F9B"/>
    <w:rsid w:val="00A371C1"/>
    <w:rsid w:val="00A37543"/>
    <w:rsid w:val="00A401CB"/>
    <w:rsid w:val="00A416E1"/>
    <w:rsid w:val="00A41880"/>
    <w:rsid w:val="00A45E7A"/>
    <w:rsid w:val="00A46CA8"/>
    <w:rsid w:val="00A51C5B"/>
    <w:rsid w:val="00A5340D"/>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34DF"/>
    <w:rsid w:val="00B3376E"/>
    <w:rsid w:val="00B44C12"/>
    <w:rsid w:val="00B505C3"/>
    <w:rsid w:val="00B51D7D"/>
    <w:rsid w:val="00B56BFA"/>
    <w:rsid w:val="00B56D8F"/>
    <w:rsid w:val="00B63F21"/>
    <w:rsid w:val="00B7051B"/>
    <w:rsid w:val="00B70A1E"/>
    <w:rsid w:val="00B71B55"/>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318F"/>
    <w:rsid w:val="00C6520D"/>
    <w:rsid w:val="00C66674"/>
    <w:rsid w:val="00C7218F"/>
    <w:rsid w:val="00C7735F"/>
    <w:rsid w:val="00C77963"/>
    <w:rsid w:val="00C84C27"/>
    <w:rsid w:val="00C86C3C"/>
    <w:rsid w:val="00C934BE"/>
    <w:rsid w:val="00C9509A"/>
    <w:rsid w:val="00CA2702"/>
    <w:rsid w:val="00CA4144"/>
    <w:rsid w:val="00CA5BA2"/>
    <w:rsid w:val="00CA61B2"/>
    <w:rsid w:val="00CB0228"/>
    <w:rsid w:val="00CB1331"/>
    <w:rsid w:val="00CB20D4"/>
    <w:rsid w:val="00CB3DA4"/>
    <w:rsid w:val="00CC1500"/>
    <w:rsid w:val="00CC3606"/>
    <w:rsid w:val="00CC5644"/>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5AD9"/>
    <w:rsid w:val="00D464D8"/>
    <w:rsid w:val="00D54A2D"/>
    <w:rsid w:val="00D6058E"/>
    <w:rsid w:val="00D615F3"/>
    <w:rsid w:val="00D67BE9"/>
    <w:rsid w:val="00D80FB5"/>
    <w:rsid w:val="00D84722"/>
    <w:rsid w:val="00D849A1"/>
    <w:rsid w:val="00D86E64"/>
    <w:rsid w:val="00D87FC1"/>
    <w:rsid w:val="00D90626"/>
    <w:rsid w:val="00D97450"/>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15A0"/>
    <w:rsid w:val="00E03749"/>
    <w:rsid w:val="00E07B80"/>
    <w:rsid w:val="00E10416"/>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0B1D"/>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1637D"/>
    <w:rsid w:val="00F2000B"/>
    <w:rsid w:val="00F20053"/>
    <w:rsid w:val="00F32341"/>
    <w:rsid w:val="00F34282"/>
    <w:rsid w:val="00F36D8C"/>
    <w:rsid w:val="00F4323B"/>
    <w:rsid w:val="00F44577"/>
    <w:rsid w:val="00F57C8E"/>
    <w:rsid w:val="00F60EC3"/>
    <w:rsid w:val="00F61E74"/>
    <w:rsid w:val="00F6242D"/>
    <w:rsid w:val="00F640E1"/>
    <w:rsid w:val="00F73C6D"/>
    <w:rsid w:val="00F9588C"/>
    <w:rsid w:val="00FA374B"/>
    <w:rsid w:val="00FB0B78"/>
    <w:rsid w:val="00FB624F"/>
    <w:rsid w:val="00FC174C"/>
    <w:rsid w:val="00FC45D1"/>
    <w:rsid w:val="00FC5EDD"/>
    <w:rsid w:val="00FD4F82"/>
    <w:rsid w:val="00FD7BF2"/>
    <w:rsid w:val="00FD7D82"/>
    <w:rsid w:val="00FE2CC0"/>
    <w:rsid w:val="00FE53CE"/>
    <w:rsid w:val="00FF0214"/>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13592</Characters>
  <Application>Microsoft Office Word</Application>
  <DocSecurity>0</DocSecurity>
  <Lines>113</Lines>
  <Paragraphs>31</Paragraphs>
  <ScaleCrop>false</ScaleCrop>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2016-04-06T06:33:00Z</dcterms:created>
  <dcterms:modified xsi:type="dcterms:W3CDTF">2016-04-06T06:33:00Z</dcterms:modified>
</cp:coreProperties>
</file>